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53A" w:rsidRPr="00492BBD" w:rsidRDefault="009733B6" w:rsidP="00F5153A">
      <w:pPr>
        <w:pStyle w:val="BodyTextIndent"/>
        <w:autoSpaceDE w:val="0"/>
        <w:autoSpaceDN w:val="0"/>
        <w:adjustRightInd w:val="0"/>
        <w:spacing w:after="0" w:line="200" w:lineRule="atLeast"/>
        <w:jc w:val="both"/>
        <w:rPr>
          <w:rFonts w:ascii="Times New Roman Bold" w:hAnsi="Times New Roman Bold"/>
          <w:b/>
          <w:color w:val="0000FF"/>
          <w:sz w:val="23"/>
          <w:szCs w:val="23"/>
        </w:rPr>
      </w:pPr>
      <w:r>
        <w:rPr>
          <w:rFonts w:ascii="Times New Roman Bold" w:hAnsi="Times New Roman Bold"/>
          <w:b/>
          <w:color w:val="0000FF"/>
          <w:sz w:val="23"/>
          <w:szCs w:val="23"/>
        </w:rPr>
        <w:t>SUPPLEMENTARY</w:t>
      </w:r>
      <w:r w:rsidR="00F5153A">
        <w:rPr>
          <w:rFonts w:ascii="Times New Roman Bold" w:hAnsi="Times New Roman Bold"/>
          <w:b/>
          <w:color w:val="0000FF"/>
          <w:sz w:val="23"/>
          <w:szCs w:val="23"/>
        </w:rPr>
        <w:t xml:space="preserve"> MATERIAL</w:t>
      </w:r>
    </w:p>
    <w:p w:rsidR="00A07AB6" w:rsidRDefault="009733B6" w:rsidP="00A07AB6">
      <w:pPr>
        <w:pStyle w:val="BodyTextIndent"/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sz w:val="20"/>
          <w:szCs w:val="20"/>
        </w:rPr>
      </w:pPr>
      <w:r w:rsidRPr="009733B6">
        <w:rPr>
          <w:noProof/>
          <w:sz w:val="21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25.8pt;margin-top:14.5pt;width:459.55pt;height:138.55pt;z-index:251667456;mso-position-horizontal-relative:margin;mso-width-relative:margin;mso-height-relative:margin" stroked="f">
            <v:textbox>
              <w:txbxContent>
                <w:p w:rsidR="009733B6" w:rsidRPr="009733B6" w:rsidRDefault="009733B6" w:rsidP="009733B6">
                  <w:pPr>
                    <w:spacing w:after="100"/>
                    <w:rPr>
                      <w:rFonts w:ascii="Calibri" w:hAnsi="Calibri"/>
                      <w:sz w:val="22"/>
                      <w:szCs w:val="22"/>
                    </w:rPr>
                  </w:pPr>
                  <w:r w:rsidRPr="009733B6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</w:rPr>
                    <w:t>Table S1. LLI study population (N=118).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456"/>
                    <w:gridCol w:w="1179"/>
                    <w:gridCol w:w="1821"/>
                    <w:gridCol w:w="1823"/>
                    <w:gridCol w:w="1824"/>
                  </w:tblGrid>
                  <w:tr w:rsidR="009733B6" w:rsidRPr="009733B6" w:rsidTr="009733B6">
                    <w:tc>
                      <w:tcPr>
                        <w:tcW w:w="2456" w:type="dxa"/>
                      </w:tcPr>
                      <w:p w:rsidR="009733B6" w:rsidRPr="009733B6" w:rsidRDefault="009733B6" w:rsidP="00B277B9">
                        <w:pPr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Group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1821" w:type="dxa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Age mean (SD)</w:t>
                        </w:r>
                      </w:p>
                    </w:tc>
                    <w:tc>
                      <w:tcPr>
                        <w:tcW w:w="1823" w:type="dxa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Age range</w:t>
                        </w:r>
                      </w:p>
                    </w:tc>
                    <w:tc>
                      <w:tcPr>
                        <w:tcW w:w="1824" w:type="dxa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Sex (M/F)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456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Controls</w:t>
                        </w:r>
                      </w:p>
                    </w:tc>
                    <w:tc>
                      <w:tcPr>
                        <w:tcW w:w="1179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1821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49.2 (14.2)</w:t>
                        </w:r>
                      </w:p>
                    </w:tc>
                    <w:tc>
                      <w:tcPr>
                        <w:tcW w:w="1823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25-78</w:t>
                        </w:r>
                      </w:p>
                    </w:tc>
                    <w:tc>
                      <w:tcPr>
                        <w:tcW w:w="1824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24/41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456" w:type="dxa"/>
                      </w:tcPr>
                      <w:p w:rsidR="009733B6" w:rsidRPr="009733B6" w:rsidRDefault="009733B6" w:rsidP="00B277B9">
                        <w:pPr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LLIs</w:t>
                        </w:r>
                      </w:p>
                    </w:tc>
                    <w:tc>
                      <w:tcPr>
                        <w:tcW w:w="1179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1821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98.2 (4.1)</w:t>
                        </w:r>
                      </w:p>
                    </w:tc>
                    <w:tc>
                      <w:tcPr>
                        <w:tcW w:w="1823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91-107</w:t>
                        </w:r>
                      </w:p>
                    </w:tc>
                    <w:tc>
                      <w:tcPr>
                        <w:tcW w:w="1824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18/35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456" w:type="dxa"/>
                      </w:tcPr>
                      <w:p w:rsidR="009733B6" w:rsidRPr="009733B6" w:rsidRDefault="009733B6" w:rsidP="00B277B9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Frail-LLIs</w:t>
                        </w:r>
                      </w:p>
                    </w:tc>
                    <w:tc>
                      <w:tcPr>
                        <w:tcW w:w="1179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1821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97.9 (3.7)</w:t>
                        </w:r>
                      </w:p>
                    </w:tc>
                    <w:tc>
                      <w:tcPr>
                        <w:tcW w:w="1823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91-104</w:t>
                        </w:r>
                      </w:p>
                    </w:tc>
                    <w:tc>
                      <w:tcPr>
                        <w:tcW w:w="1824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14/14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456" w:type="dxa"/>
                      </w:tcPr>
                      <w:p w:rsidR="009733B6" w:rsidRPr="009733B6" w:rsidRDefault="009733B6" w:rsidP="00B277B9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Healthy-LLIs</w:t>
                        </w:r>
                      </w:p>
                    </w:tc>
                    <w:tc>
                      <w:tcPr>
                        <w:tcW w:w="1179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1821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98.5 (4.5)</w:t>
                        </w:r>
                      </w:p>
                    </w:tc>
                    <w:tc>
                      <w:tcPr>
                        <w:tcW w:w="1823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91-107</w:t>
                        </w:r>
                      </w:p>
                    </w:tc>
                    <w:tc>
                      <w:tcPr>
                        <w:tcW w:w="1824" w:type="dxa"/>
                        <w:vAlign w:val="center"/>
                      </w:tcPr>
                      <w:p w:rsidR="009733B6" w:rsidRPr="009733B6" w:rsidRDefault="009733B6" w:rsidP="00B277B9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4/21</w:t>
                        </w:r>
                      </w:p>
                    </w:tc>
                  </w:tr>
                </w:tbl>
                <w:p w:rsidR="009733B6" w:rsidRPr="009733B6" w:rsidRDefault="009733B6" w:rsidP="009733B6">
                  <w:pPr>
                    <w:spacing w:before="60"/>
                    <w:jc w:val="both"/>
                    <w:rPr>
                      <w:rFonts w:ascii="Calibri" w:hAnsi="Calibri"/>
                      <w:sz w:val="20"/>
                      <w:szCs w:val="20"/>
                    </w:rPr>
                  </w:pPr>
                  <w:r w:rsidRPr="009733B6">
                    <w:rPr>
                      <w:rFonts w:ascii="Calibri" w:hAnsi="Calibri"/>
                      <w:sz w:val="20"/>
                      <w:szCs w:val="20"/>
                    </w:rPr>
                    <w:t xml:space="preserve">Non-Healthy-LLIs, frail long-living individuals affected with diabetes, hypertension, cardiovascular disease, Alzheimer’s disease, senile dementia, respiratory diseases or rheumatoid arthritis; Healthy-LLIs, healthy-aged long-living individuals; LLIs, all long-living individuals.*LLIs </w:t>
                  </w:r>
                  <w:proofErr w:type="spellStart"/>
                  <w:r w:rsidRPr="009733B6">
                    <w:rPr>
                      <w:rFonts w:ascii="Calibri" w:hAnsi="Calibri"/>
                      <w:sz w:val="20"/>
                      <w:szCs w:val="20"/>
                    </w:rPr>
                    <w:t>vs</w:t>
                  </w:r>
                  <w:proofErr w:type="spellEnd"/>
                  <w:r w:rsidRPr="009733B6">
                    <w:rPr>
                      <w:rFonts w:ascii="Calibri" w:hAnsi="Calibri"/>
                      <w:sz w:val="20"/>
                      <w:szCs w:val="20"/>
                    </w:rPr>
                    <w:t xml:space="preserve"> controls p=0.7 Healthy </w:t>
                  </w:r>
                  <w:proofErr w:type="spellStart"/>
                  <w:r w:rsidRPr="009733B6">
                    <w:rPr>
                      <w:rFonts w:ascii="Calibri" w:hAnsi="Calibri"/>
                      <w:sz w:val="20"/>
                      <w:szCs w:val="20"/>
                    </w:rPr>
                    <w:t>vs</w:t>
                  </w:r>
                  <w:proofErr w:type="spellEnd"/>
                  <w:r w:rsidRPr="009733B6">
                    <w:rPr>
                      <w:rFonts w:ascii="Calibri" w:hAnsi="Calibri"/>
                      <w:sz w:val="20"/>
                      <w:szCs w:val="20"/>
                    </w:rPr>
                    <w:t xml:space="preserve"> Non-healthy LLIs p=0.01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</w:p>
                <w:p w:rsidR="009733B6" w:rsidRDefault="009733B6"/>
              </w:txbxContent>
            </v:textbox>
            <w10:wrap anchorx="margin"/>
          </v:shape>
        </w:pict>
      </w: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 w:rsidRPr="009733B6">
        <w:rPr>
          <w:noProof/>
          <w:sz w:val="21"/>
          <w:lang w:eastAsia="zh-TW"/>
        </w:rPr>
        <w:pict>
          <v:shape id="_x0000_s1073" type="#_x0000_t202" style="position:absolute;left:0;text-align:left;margin-left:50.4pt;margin-top:.9pt;width:403.2pt;height:499.75pt;z-index:251669504;mso-position-horizontal-relative:margin;mso-width-relative:margin;mso-height-relative:margin" stroked="f">
            <v:textbox>
              <w:txbxContent>
                <w:p w:rsidR="009733B6" w:rsidRPr="009733B6" w:rsidRDefault="009733B6" w:rsidP="009733B6">
                  <w:pPr>
                    <w:spacing w:after="100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9733B6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Table S2. </w:t>
                  </w:r>
                  <w:proofErr w:type="spellStart"/>
                  <w:proofErr w:type="gramStart"/>
                  <w:r w:rsidRPr="009733B6">
                    <w:rPr>
                      <w:rFonts w:ascii="Calibri" w:hAnsi="Calibri"/>
                      <w:b/>
                      <w:sz w:val="22"/>
                      <w:szCs w:val="22"/>
                    </w:rPr>
                    <w:t>qPCR</w:t>
                  </w:r>
                  <w:proofErr w:type="spellEnd"/>
                  <w:proofErr w:type="gramEnd"/>
                  <w:r w:rsidRPr="009733B6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primers.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285"/>
                    <w:gridCol w:w="666"/>
                    <w:gridCol w:w="4987"/>
                  </w:tblGrid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CDC25A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AATGGGCTCCTCCGAGTCAA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TTCTTTACTGTCCAATGGCCC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CDKN1A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TGAGCCGCGACTGTGATG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GTCTCGGTGACAAAGTCGAAGTT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FAS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ATGCCCAAGTGACTGACATCAA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CTGGAGGACAGGGCTTATGG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GADD45A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AATTCTCGGCTGGAGAGCAG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CTTCGTACACCCCGACAGTG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MDM2 exon1a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CGAAAACCCCGGATGGTGAG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CGAAGCTGGAATCTGTGAGGT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MDM2 exon1b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AGTGGCGATTGGAGGGTAGA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GTCTCTTGTTCCGAAGCTGGA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p53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 xml:space="preserve"> CCCCAGCCAAAGAAGAAAC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AACATCTCGAAGCGCTCAC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RAD51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TCATACGCTAGCTGTCACCTG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AGCAGCCGTTCTGGCCTAA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C15orf5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CTGGAGTGAGGAGACTGAGGA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CTTTTAAACCCACACCGCTTGA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sz w:val="20"/>
                            <w:szCs w:val="20"/>
                          </w:rPr>
                          <w:t>DLEU2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AGCCAAATGTCCCATTTAAAGTT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ATTGCTGAGCTAAGTAGAGGTC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sz w:val="20"/>
                            <w:szCs w:val="20"/>
                          </w:rPr>
                          <w:t>GSN-AS1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GCCCCTGTGTCATAGTCACC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CACAGTTAAGTGAGGGCCCAG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KIFC1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GAGGCCTGACCAGATGGAAG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GGCACTGTAGTGAGGGATGG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LINC00702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AGAAAGGAGAAGAAAGTAGCTTGT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GAAGTGCCTGTAGGAGATTCCA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MALAT1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TGTGTGCCAATGTTTCGTTT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AGGAGAAAGTGCCATGGTTG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MEG3</w:t>
                        </w:r>
                      </w:p>
                    </w:tc>
                    <w:tc>
                      <w:tcPr>
                        <w:tcW w:w="666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CTGGGTCGGCTGAAGAACTG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NEAT1</w:t>
                        </w: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GGCACCAGCATTTTGTGGTT3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ACAAGGCCTCAGAAATGGGG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PVT1 exon1a</w:t>
                        </w: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CGGCACCTTCCAGTGGAT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CCGTGTCTCCACAGGTCACA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PVT1 exon1b</w:t>
                        </w: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TCCCGGAAGCTGCAGAAG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CCAGGCCACGAGGTTTCTC</w:t>
                        </w:r>
                      </w:p>
                    </w:tc>
                  </w:tr>
                  <w:tr w:rsidR="009733B6" w:rsidRPr="00007B8C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PVT1 exon3_1 (fig S5)</w:t>
                        </w: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GGTGACCTTGGCACATACAG</w:t>
                        </w:r>
                      </w:p>
                    </w:tc>
                  </w:tr>
                  <w:tr w:rsidR="009733B6" w:rsidRPr="00007B8C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GTCCTGGCAGTAAAAGGGGAA</w:t>
                        </w:r>
                      </w:p>
                    </w:tc>
                  </w:tr>
                  <w:tr w:rsidR="009733B6" w:rsidRPr="00007B8C" w:rsidTr="009733B6">
                    <w:tc>
                      <w:tcPr>
                        <w:tcW w:w="2285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 xml:space="preserve"> PVT1 exon3_2 (fig S6)</w:t>
                        </w: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 xml:space="preserve"> TGGCACATACAGCCATCATGA</w:t>
                        </w:r>
                      </w:p>
                    </w:tc>
                  </w:tr>
                  <w:tr w:rsidR="009733B6" w:rsidRPr="00007B8C" w:rsidTr="009733B6">
                    <w:tc>
                      <w:tcPr>
                        <w:tcW w:w="2285" w:type="dxa"/>
                      </w:tcPr>
                      <w:p w:rsidR="009733B6" w:rsidRPr="00007B8C" w:rsidRDefault="009733B6" w:rsidP="00B277B9">
                        <w:pPr>
                          <w:rPr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66" w:type="dxa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4987" w:type="dxa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 xml:space="preserve"> ACGTGCCAAGCAGCTCAAA</w:t>
                        </w:r>
                      </w:p>
                    </w:tc>
                  </w:tr>
                </w:tbl>
                <w:p w:rsidR="009733B6" w:rsidRDefault="009733B6"/>
              </w:txbxContent>
            </v:textbox>
            <w10:wrap anchorx="margin"/>
          </v:shape>
        </w:pict>
      </w: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>
        <w:rPr>
          <w:noProof/>
          <w:sz w:val="21"/>
        </w:rPr>
        <w:pict>
          <v:shape id="_x0000_s1074" type="#_x0000_t202" style="position:absolute;left:0;text-align:left;margin-left:0;margin-top:681.1pt;width:511.05pt;height:54pt;z-index:251670528;visibility:visible;mso-position-horizontal:center;mso-position-horizontal-relative:margin;mso-position-vertical-relative:margin" filled="f" stroked="f">
            <v:textbox inset="0,0,0,0">
              <w:txbxContent>
                <w:p w:rsidR="009733B6" w:rsidRDefault="009733B6" w:rsidP="009733B6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9733B6" w:rsidRDefault="009733B6" w:rsidP="009733B6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9733B6" w:rsidRDefault="009733B6" w:rsidP="009733B6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</w:t>
                  </w:r>
                  <w:r w:rsidR="004F025C">
                    <w:rPr>
                      <w:rFonts w:ascii="Calibri" w:hAnsi="Calibri" w:cs="Calibri"/>
                    </w:rPr>
                    <w:t>1</w:t>
                  </w:r>
                  <w:r>
                    <w:rPr>
                      <w:rFonts w:ascii="Calibri" w:hAnsi="Calibri" w:cs="Calibri"/>
                    </w:rPr>
                    <w:t xml:space="preserve">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 w:rsidRPr="009733B6">
        <w:rPr>
          <w:noProof/>
          <w:sz w:val="21"/>
          <w:lang w:eastAsia="zh-TW"/>
        </w:rPr>
        <w:lastRenderedPageBreak/>
        <w:pict>
          <v:shape id="_x0000_s1075" type="#_x0000_t202" style="position:absolute;left:0;text-align:left;margin-left:0;margin-top:0;width:403.2pt;height:85.05pt;z-index:251672576;mso-position-horizontal:center;mso-position-horizontal-relative:margin;mso-width-relative:margin;mso-height-relative:margin" stroked="f">
            <v:textbox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214"/>
                    <w:gridCol w:w="661"/>
                    <w:gridCol w:w="5101"/>
                  </w:tblGrid>
                  <w:tr w:rsidR="009733B6" w:rsidRPr="009733B6" w:rsidTr="009733B6">
                    <w:tc>
                      <w:tcPr>
                        <w:tcW w:w="2214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RAD51-AS1</w:t>
                        </w:r>
                      </w:p>
                    </w:tc>
                    <w:tc>
                      <w:tcPr>
                        <w:tcW w:w="661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5101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GCGAGTTTACAGACTGCCCT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14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1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5101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GATGCATGCCGGGAGATGTA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14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TMPO</w:t>
                        </w:r>
                      </w:p>
                    </w:tc>
                    <w:tc>
                      <w:tcPr>
                        <w:tcW w:w="661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5101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TGAAACTGAGGGAACAAGGAACA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14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1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5101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GCTCTGCCCTTTAGTGGTTCT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14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TP53TG1</w:t>
                        </w:r>
                      </w:p>
                    </w:tc>
                    <w:tc>
                      <w:tcPr>
                        <w:tcW w:w="661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5101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ATTCCCAGTGAGCCGCTTTT</w:t>
                        </w:r>
                      </w:p>
                    </w:tc>
                  </w:tr>
                  <w:tr w:rsidR="009733B6" w:rsidRPr="009733B6" w:rsidTr="009733B6">
                    <w:tc>
                      <w:tcPr>
                        <w:tcW w:w="2214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1" w:type="dxa"/>
                        <w:vAlign w:val="bottom"/>
                      </w:tcPr>
                      <w:p w:rsidR="009733B6" w:rsidRPr="009733B6" w:rsidRDefault="009733B6" w:rsidP="00B277B9">
                        <w:pPr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5101" w:type="dxa"/>
                        <w:vAlign w:val="center"/>
                      </w:tcPr>
                      <w:p w:rsidR="009733B6" w:rsidRPr="009733B6" w:rsidRDefault="009733B6" w:rsidP="00B277B9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733B6">
                          <w:rPr>
                            <w:color w:val="000000"/>
                            <w:sz w:val="20"/>
                            <w:szCs w:val="20"/>
                          </w:rPr>
                          <w:t>GCTCTCAGAGTCCTTGGTGG</w:t>
                        </w:r>
                      </w:p>
                    </w:tc>
                  </w:tr>
                </w:tbl>
                <w:p w:rsidR="009733B6" w:rsidRDefault="009733B6"/>
              </w:txbxContent>
            </v:textbox>
            <w10:wrap anchorx="margin"/>
          </v:shape>
        </w:pict>
      </w: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 w:rsidRPr="009733B6">
        <w:rPr>
          <w:noProof/>
          <w:sz w:val="21"/>
          <w:lang w:eastAsia="zh-TW"/>
        </w:rPr>
        <w:pict>
          <v:shape id="_x0000_s1076" type="#_x0000_t202" style="position:absolute;left:0;text-align:left;margin-left:79.2pt;margin-top:10.85pt;width:345.6pt;height:447.85pt;z-index:251674624;mso-position-horizontal-relative:margin;mso-width-relative:margin;mso-height-relative:margin" stroked="f">
            <v:textbox>
              <w:txbxContent>
                <w:p w:rsidR="009733B6" w:rsidRPr="009733B6" w:rsidRDefault="009733B6" w:rsidP="009733B6">
                  <w:r>
                    <w:rPr>
                      <w:noProof/>
                    </w:rPr>
                    <w:drawing>
                      <wp:inline distT="0" distB="0" distL="0" distR="0">
                        <wp:extent cx="4114800" cy="5537675"/>
                        <wp:effectExtent l="19050" t="0" r="0" b="0"/>
                        <wp:docPr id="1" name="Picture 0" descr="FigureS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.tif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553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 w:rsidRPr="009733B6">
        <w:rPr>
          <w:noProof/>
          <w:sz w:val="21"/>
          <w:lang w:eastAsia="zh-TW"/>
        </w:rPr>
        <w:pict>
          <v:shape id="_x0000_s1077" type="#_x0000_t202" style="position:absolute;left:0;text-align:left;margin-left:0;margin-top:2.15pt;width:383.95pt;height:128pt;z-index:251676672;mso-position-horizontal:center;mso-position-horizontal-relative:margin;mso-width-relative:margin;mso-height-relative:margin" stroked="f">
            <v:textbox inset="0,0,0,0">
              <w:txbxContent>
                <w:p w:rsidR="009733B6" w:rsidRPr="001C4005" w:rsidRDefault="009733B6" w:rsidP="009733B6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Figure S1</w:t>
                  </w:r>
                  <w:r w:rsidRPr="008D1070">
                    <w:rPr>
                      <w:rFonts w:ascii="Calibri" w:hAnsi="Calibri"/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Cell cycle analysis of H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O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–treated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 xml:space="preserve"> 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HUVEC used for RNA-sequencing profiling.</w:t>
                  </w:r>
                  <w:proofErr w:type="gram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HUVEC were cultured with or without 200 </w:t>
                  </w:r>
                  <w:r w:rsidRPr="009733B6">
                    <w:rPr>
                      <w:rFonts w:ascii="Symbol" w:hAnsi="Symbol"/>
                      <w:sz w:val="18"/>
                      <w:szCs w:val="18"/>
                    </w:rPr>
                    <w:t>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M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16 hrs and 36 hrs. Afterwards cells were pulse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labelled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with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BrdU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30 min before collecting, fixed and then stained with PI and </w:t>
                  </w:r>
                  <w:r w:rsidRPr="008D1070">
                    <w:rPr>
                      <w:rFonts w:ascii="Symbol" w:hAnsi="Symbol"/>
                      <w:sz w:val="18"/>
                      <w:szCs w:val="18"/>
                    </w:rPr>
                    <w:t>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-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BrdU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antibody. </w:t>
                  </w:r>
                  <w:r w:rsidR="008D1070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r w:rsidRPr="008D1070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) </w:t>
                  </w:r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Representative images of </w:t>
                  </w:r>
                  <w:proofErr w:type="spellStart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BrdU</w:t>
                  </w:r>
                  <w:proofErr w:type="spellEnd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 incorporation (left panels) and PI staining (right panels), assessing DNA synthesis and DNA content, respectively, of HUVEC treated or not with H</w:t>
                  </w:r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vertAlign w:val="subscript"/>
                      <w:lang w:eastAsia="it-IT"/>
                    </w:rPr>
                    <w:t>2</w:t>
                  </w:r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O</w:t>
                  </w:r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vertAlign w:val="subscript"/>
                      <w:lang w:eastAsia="it-IT"/>
                    </w:rPr>
                    <w:t xml:space="preserve">2 </w:t>
                  </w:r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for 16 or 36 hrs. Pre-gated single cells were visualized in </w:t>
                  </w:r>
                  <w:proofErr w:type="spellStart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bivariate</w:t>
                  </w:r>
                  <w:proofErr w:type="spellEnd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 dot plots of </w:t>
                  </w:r>
                  <w:proofErr w:type="spellStart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BrdU</w:t>
                  </w:r>
                  <w:proofErr w:type="spellEnd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 </w:t>
                  </w:r>
                  <w:proofErr w:type="spellStart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vs</w:t>
                  </w:r>
                  <w:proofErr w:type="spellEnd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 PI to properly set the </w:t>
                  </w:r>
                  <w:proofErr w:type="spellStart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BrdU</w:t>
                  </w:r>
                  <w:proofErr w:type="spellEnd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-positivity gates, thus taking into account the different </w:t>
                  </w:r>
                  <w:proofErr w:type="spellStart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autofluorescence</w:t>
                  </w:r>
                  <w:proofErr w:type="spellEnd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 of cells in the distinct phases of their cell cycle (left panels). </w:t>
                  </w:r>
                  <w:proofErr w:type="spellStart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>Univariate</w:t>
                  </w:r>
                  <w:proofErr w:type="spellEnd"/>
                  <w:r w:rsidRPr="001C4005">
                    <w:rPr>
                      <w:rFonts w:ascii="Calibri" w:hAnsi="Calibri"/>
                      <w:color w:val="000000"/>
                      <w:sz w:val="18"/>
                      <w:szCs w:val="18"/>
                      <w:lang w:eastAsia="it-IT"/>
                    </w:rPr>
                    <w:t xml:space="preserve"> histograms of DNA-bound PI are also showed (right panels).</w:t>
                  </w:r>
                  <w:r w:rsidRPr="001C4005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it-IT"/>
                    </w:rPr>
                    <w:t xml:space="preserve"> </w:t>
                  </w:r>
                  <w:r w:rsidR="008D1070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it-IT"/>
                    </w:rPr>
                    <w:t>(</w:t>
                  </w:r>
                  <w:r w:rsidRPr="008D1070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="008D1070">
                    <w:rPr>
                      <w:rFonts w:ascii="Calibri" w:hAnsi="Calibri"/>
                      <w:sz w:val="18"/>
                      <w:szCs w:val="18"/>
                    </w:rPr>
                    <w:t>)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Bar graph representing average values ±SEM of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BrdU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incorporation shows a decrease in DNA synthesis in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-treated HUVEC (n= 3; ***P&lt;0.001). C) Bar graph representing average percentage ±SEM of sub-G1 cells shows a significant but small increase of cell death upon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 xml:space="preserve">2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treatment (n= 3; *p&lt;0.05, **p&lt;0.01).</w:t>
                  </w:r>
                </w:p>
                <w:p w:rsidR="009733B6" w:rsidRDefault="009733B6"/>
              </w:txbxContent>
            </v:textbox>
            <w10:wrap anchorx="margin"/>
          </v:shape>
        </w:pict>
      </w: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>
        <w:rPr>
          <w:noProof/>
          <w:sz w:val="21"/>
        </w:rPr>
        <w:pict>
          <v:shape id="_x0000_s1078" type="#_x0000_t202" style="position:absolute;left:0;text-align:left;margin-left:0;margin-top:684pt;width:511.05pt;height:54pt;z-index:251677696;visibility:visible;mso-position-horizontal:center;mso-position-horizontal-relative:margin;mso-position-vertical-relative:margin" filled="f" stroked="f">
            <v:textbox inset="0,0,0,0">
              <w:txbxContent>
                <w:p w:rsidR="008D1070" w:rsidRDefault="008D1070" w:rsidP="008D1070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8D1070" w:rsidRDefault="008D1070" w:rsidP="008D1070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8D1070" w:rsidRDefault="008D1070" w:rsidP="008D1070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 w:rsidRPr="008D1070">
        <w:rPr>
          <w:noProof/>
          <w:sz w:val="21"/>
          <w:lang w:eastAsia="zh-TW"/>
        </w:rPr>
        <w:lastRenderedPageBreak/>
        <w:pict>
          <v:shape id="_x0000_s1079" type="#_x0000_t202" style="position:absolute;left:0;text-align:left;margin-left:0;margin-top:0;width:252pt;height:381.85pt;z-index:251679744;mso-position-horizontal:left;mso-position-horizontal-relative:margin;mso-width-relative:margin;mso-height-relative:margin" stroked="f">
            <v:textbox>
              <w:txbxContent>
                <w:p w:rsidR="008D1070" w:rsidRDefault="008D1070">
                  <w:r>
                    <w:rPr>
                      <w:noProof/>
                    </w:rPr>
                    <w:drawing>
                      <wp:inline distT="0" distB="0" distL="0" distR="0">
                        <wp:extent cx="3108960" cy="4684682"/>
                        <wp:effectExtent l="19050" t="0" r="0" b="0"/>
                        <wp:docPr id="3" name="Picture 2" descr="FigureS2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2.tif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960" cy="4684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>
        <w:rPr>
          <w:noProof/>
          <w:sz w:val="21"/>
        </w:rPr>
        <w:pict>
          <v:shape id="_x0000_s1080" type="#_x0000_t202" style="position:absolute;left:0;text-align:left;margin-left:.4pt;margin-top:418.9pt;width:261.65pt;height:241.05pt;z-index:251680768;mso-position-horizontal-relative:margin;mso-position-vertical-relative:margin;mso-width-relative:margin;mso-height-relative:margin" stroked="f">
            <v:textbox>
              <w:txbxContent>
                <w:p w:rsidR="008D1070" w:rsidRDefault="008D1070" w:rsidP="008D1070">
                  <w:r>
                    <w:rPr>
                      <w:noProof/>
                    </w:rPr>
                    <w:drawing>
                      <wp:inline distT="0" distB="0" distL="0" distR="0">
                        <wp:extent cx="3200400" cy="2974227"/>
                        <wp:effectExtent l="19050" t="0" r="0" b="0"/>
                        <wp:docPr id="7" name="Picture 6" descr="FigureS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3.tif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2974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4F025C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>
        <w:rPr>
          <w:noProof/>
          <w:sz w:val="21"/>
        </w:rPr>
        <w:pict>
          <v:shape id="_x0000_s1103" type="#_x0000_t202" style="position:absolute;left:0;text-align:left;margin-left:0;margin-top:682.7pt;width:511.05pt;height:54pt;z-index:251709440;visibility:visible;mso-position-horizontal:center;mso-position-horizontal-relative:margin;mso-position-vertical-relative:margin" filled="f" stroked="f">
            <v:textbox inset="0,0,0,0">
              <w:txbxContent>
                <w:p w:rsidR="004F025C" w:rsidRDefault="004F025C" w:rsidP="004F025C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3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 w:rsidRPr="008D1070">
        <w:rPr>
          <w:noProof/>
          <w:sz w:val="21"/>
          <w:lang w:eastAsia="zh-TW"/>
        </w:rPr>
        <w:pict>
          <v:shape id="_x0000_s1081" type="#_x0000_t202" style="position:absolute;left:0;text-align:left;margin-left:-10.8pt;margin-top:9.1pt;width:259.2pt;height:106.8pt;z-index:251682816;mso-width-relative:margin;mso-height-relative:margin" stroked="f">
            <v:textbox inset="0,0,0,0">
              <w:txbxContent>
                <w:p w:rsidR="008D1070" w:rsidRPr="001C4005" w:rsidRDefault="008D1070" w:rsidP="008D1070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Figure S2. Positive controls in H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O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–treated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 xml:space="preserve"> 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HUVEC used for RNA-sequencing profiling.</w:t>
                  </w:r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HUVEC were cultured with or without 200 </w:t>
                  </w:r>
                  <w:r w:rsidRPr="008D1070">
                    <w:rPr>
                      <w:rFonts w:ascii="Symbol" w:hAnsi="Symbol"/>
                      <w:sz w:val="18"/>
                      <w:szCs w:val="18"/>
                    </w:rPr>
                    <w:t>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M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16 hrs and 36 hrs. Afterwards, total RNA was extracted and the indicated genes measured by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. Average values are indicated ±SEM. A) The bar graph shows a significant increase of CDKN1A mRNA by 16 hrs of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treatment (n= 3; ***p&lt;0.001). B) The bar graph shows a significant decrease of ZEB1 mRNA at 36 hrs of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treatment (n= 3; *p&lt;0.05). C) The bar graph shows that miR-200c-3p was induced by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treatment (n= 3; *p&lt;0.05; **p&lt;0.01).</w:t>
                  </w:r>
                </w:p>
                <w:p w:rsidR="008D1070" w:rsidRDefault="008D1070"/>
              </w:txbxContent>
            </v:textbox>
          </v:shape>
        </w:pict>
      </w: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>
        <w:rPr>
          <w:noProof/>
          <w:sz w:val="21"/>
        </w:rPr>
        <w:pict>
          <v:shape id="_x0000_s1082" type="#_x0000_t202" style="position:absolute;left:0;text-align:left;margin-left:1.6pt;margin-top:495.3pt;width:259.2pt;height:62.85pt;z-index:251683840;mso-position-vertical-relative:margin;mso-width-relative:margin;mso-height-relative:margin" stroked="f">
            <v:textbox inset="0,0,0,0">
              <w:txbxContent>
                <w:p w:rsidR="008D1070" w:rsidRPr="001C4005" w:rsidRDefault="008D1070" w:rsidP="008D1070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Figure S3. Validation of mRNAs differentially expressed upon HUVEC exposure to H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O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.</w:t>
                  </w:r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HUVEC were exposed to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16 hrs and 36 hrs and the expression of the indicated mRNAs was measured by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. The bar graph shows average ±SEM fold change values (n= 3; **p&lt;0.01, ***p&lt;0.001, ****p&lt;0.0001).</w:t>
                  </w:r>
                </w:p>
                <w:p w:rsidR="008D1070" w:rsidRDefault="008D1070" w:rsidP="008D1070"/>
              </w:txbxContent>
            </v:textbox>
            <w10:wrap anchory="margin"/>
          </v:shape>
        </w:pict>
      </w: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  <w:r w:rsidRPr="008D1070">
        <w:rPr>
          <w:noProof/>
          <w:sz w:val="21"/>
          <w:lang w:eastAsia="zh-TW"/>
        </w:rPr>
        <w:lastRenderedPageBreak/>
        <w:pict>
          <v:shape id="_x0000_s1083" type="#_x0000_t202" style="position:absolute;left:0;text-align:left;margin-left:0;margin-top:0;width:525.05pt;height:391.85pt;z-index:251685888;mso-position-horizontal:center;mso-position-horizontal-relative:margin;mso-width-relative:margin;mso-height-relative:margin" stroked="f">
            <v:textbox>
              <w:txbxContent>
                <w:p w:rsidR="008D1070" w:rsidRDefault="008D1070">
                  <w:r>
                    <w:rPr>
                      <w:noProof/>
                    </w:rPr>
                    <w:drawing>
                      <wp:inline distT="0" distB="0" distL="0" distR="0">
                        <wp:extent cx="6400800" cy="4798961"/>
                        <wp:effectExtent l="19050" t="0" r="0" b="0"/>
                        <wp:docPr id="11" name="Picture 10" descr="FigureS4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4.t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798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8D1070" w:rsidRDefault="008D1070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9733B6" w:rsidRDefault="009733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pStyle w:val="BodyTextIndent"/>
        <w:autoSpaceDE w:val="0"/>
        <w:autoSpaceDN w:val="0"/>
        <w:adjustRightInd w:val="0"/>
        <w:spacing w:after="0" w:line="243" w:lineRule="atLeast"/>
        <w:jc w:val="both"/>
        <w:rPr>
          <w:sz w:val="21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66" type="#_x0000_t202" style="position:absolute;left:0;text-align:left;margin-left:28.8pt;margin-top:414.25pt;width:475.2pt;height:85.7pt;z-index:251662336;visibility:visible;mso-position-horizontal-relative:margin;mso-position-vertical-relative:margin;mso-width-relative:margin;mso-height-relative:margin" stroked="f">
            <v:textbox inset="0,0,0,0">
              <w:txbxContent>
                <w:p w:rsidR="008D1070" w:rsidRPr="001C4005" w:rsidRDefault="008D1070" w:rsidP="008D1070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S4. </w:t>
                  </w:r>
                  <w:proofErr w:type="gramStart"/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Alternative </w:t>
                  </w:r>
                  <w:proofErr w:type="spellStart"/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>exon</w:t>
                  </w:r>
                  <w:proofErr w:type="spellEnd"/>
                  <w:r w:rsidRPr="008D1070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usage at the 5’UTR of MDM2.</w:t>
                  </w:r>
                  <w:proofErr w:type="gram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DEXSeq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analysis of RNA-sequencing data reports a significant differential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usage for the MDM2 gene at both 16 and 36 hrs of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HUVEC treatment.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r w:rsidRPr="008D1070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) Mean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-level expression across replicates for both conditions was plotted against a schematic of all annotated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fragments involved in a splicing event. The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-level expression was in accord with the gene-level results that show a generalized increase of MDM2 gene in oxidative stress conditions. Expression upon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exposure was increased for all MDM2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exons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but those at the 5’ of the gene.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r w:rsidRPr="008D1070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) The same data are visualized normalizing expression values between all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fragments of MDM2 to highlight differential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usage at the 5’ of the gene.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fragments displaying statistically significant differences are indicated by pink arrows (n= 3; p&lt; 0.0001).</w:t>
                  </w:r>
                </w:p>
                <w:p w:rsidR="00A07AB6" w:rsidRDefault="00A07AB6" w:rsidP="00A07AB6"/>
              </w:txbxContent>
            </v:textbox>
            <w10:wrap anchorx="margin" anchory="margin"/>
          </v:shape>
        </w:pict>
      </w: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7A4F63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70" type="#_x0000_t202" style="position:absolute;left:0;text-align:left;margin-left:0;margin-top:683.3pt;width:511.05pt;height:54pt;z-index:251665408;visibility:visible;mso-position-horizontal:center;mso-position-horizontal-relative:margin;mso-position-vertical-relative:margin" filled="f" stroked="f">
            <v:textbox inset="0,0,0,0">
              <w:txbxContent>
                <w:p w:rsidR="008B7406" w:rsidRDefault="008B7406" w:rsidP="008B7406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8B7406" w:rsidRDefault="008B7406" w:rsidP="008B7406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8B7406" w:rsidRDefault="008B7406" w:rsidP="008B7406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</w:t>
                  </w:r>
                  <w:r w:rsidR="004F025C">
                    <w:rPr>
                      <w:rFonts w:ascii="Calibri" w:hAnsi="Calibri" w:cs="Calibri"/>
                    </w:rPr>
                    <w:t>4</w:t>
                  </w:r>
                  <w:r>
                    <w:rPr>
                      <w:rFonts w:ascii="Calibri" w:hAnsi="Calibri" w:cs="Calibri"/>
                    </w:rPr>
                    <w:t xml:space="preserve">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A07AB6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 w:rsidRPr="008D1070">
        <w:rPr>
          <w:rFonts w:asciiTheme="minorHAnsi" w:hAnsiTheme="minorHAnsi"/>
          <w:noProof/>
          <w:sz w:val="20"/>
          <w:szCs w:val="20"/>
          <w:lang w:eastAsia="zh-TW"/>
        </w:rPr>
        <w:lastRenderedPageBreak/>
        <w:pict>
          <v:shape id="_x0000_s1084" type="#_x0000_t202" style="position:absolute;left:0;text-align:left;margin-left:0;margin-top:.4pt;width:292.4pt;height:242.2pt;z-index:251687936;mso-position-horizontal:center;mso-position-horizontal-relative:margin;mso-width-relative:margin;mso-height-relative:margin" stroked="f">
            <v:textbox>
              <w:txbxContent>
                <w:p w:rsidR="008D1070" w:rsidRPr="008D1070" w:rsidRDefault="008D1070" w:rsidP="008D1070">
                  <w:r>
                    <w:rPr>
                      <w:noProof/>
                    </w:rPr>
                    <w:drawing>
                      <wp:inline distT="0" distB="0" distL="0" distR="0">
                        <wp:extent cx="3474720" cy="2873519"/>
                        <wp:effectExtent l="19050" t="0" r="0" b="0"/>
                        <wp:docPr id="12" name="Picture 11" descr="FigureS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5.t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4720" cy="2873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86" type="#_x0000_t202" style="position:absolute;left:0;text-align:left;margin-left:0;margin-top:253.95pt;width:324pt;height:51.7pt;z-index:251689984;mso-position-horizontal:center;mso-position-horizontal-relative:margin;mso-position-vertical-relative:margin;mso-width-relative:margin;mso-height-relative:margin" stroked="f">
            <v:textbox inset="0,0,0,0">
              <w:txbxContent>
                <w:p w:rsidR="002E49A5" w:rsidRPr="001C4005" w:rsidRDefault="002E49A5" w:rsidP="002E49A5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S5. </w:t>
                  </w:r>
                  <w:proofErr w:type="spellStart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LncRNAs</w:t>
                  </w:r>
                  <w:proofErr w:type="spellEnd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differentially expressed upon HUVEC exposure to H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O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.</w:t>
                  </w:r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HUVEC were exposed to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16 hrs and 36 hrs and the expression of the indicated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lncRNA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was measured by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. The bar graph shows average ±SEM fold change values expressed in a linear scale (n= 3; *p&lt;0.05, **p&lt;0.01, ***p&lt;0.001, ****p&lt;0.0001).</w:t>
                  </w:r>
                </w:p>
                <w:p w:rsidR="002E49A5" w:rsidRDefault="002E49A5" w:rsidP="002E49A5"/>
              </w:txbxContent>
            </v:textbox>
            <w10:wrap anchorx="margin" anchory="margin"/>
          </v:shape>
        </w:pict>
      </w: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85" type="#_x0000_t202" style="position:absolute;left:0;text-align:left;margin-left:0;margin-top:326.5pt;width:261.1pt;height:264.2pt;z-index:251688960;mso-position-horizontal:center;mso-position-horizontal-relative:margin;mso-position-vertical-relative:margin;mso-width-relative:margin;mso-height-relative:margin" stroked="f">
            <v:textbox>
              <w:txbxContent>
                <w:p w:rsidR="008D1070" w:rsidRPr="008D1070" w:rsidRDefault="008D1070" w:rsidP="008D1070">
                  <w:r>
                    <w:rPr>
                      <w:noProof/>
                    </w:rPr>
                    <w:drawing>
                      <wp:inline distT="0" distB="0" distL="0" distR="0">
                        <wp:extent cx="3017520" cy="3225618"/>
                        <wp:effectExtent l="19050" t="0" r="0" b="0"/>
                        <wp:docPr id="19" name="Picture 18" descr="FigureS6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6.tif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7520" cy="3225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87" type="#_x0000_t202" style="position:absolute;left:0;text-align:left;margin-left:0;margin-top:601.75pt;width:324pt;height:70.8pt;z-index:251691008;mso-position-horizontal:center;mso-position-horizontal-relative:margin;mso-position-vertical-relative:margin;mso-width-relative:margin;mso-height-relative:margin" stroked="f">
            <v:textbox inset="0,0,0,0">
              <w:txbxContent>
                <w:p w:rsidR="002E49A5" w:rsidRPr="001C4005" w:rsidRDefault="002E49A5" w:rsidP="002E49A5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S6. </w:t>
                  </w:r>
                  <w:proofErr w:type="gramStart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PVT1 alternative </w:t>
                  </w:r>
                  <w:proofErr w:type="spellStart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exon</w:t>
                  </w:r>
                  <w:proofErr w:type="spellEnd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usage.</w:t>
                  </w:r>
                  <w:proofErr w:type="gramEnd"/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HUVEC were exposed to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16 hrs and 36 hrs and the expression of the indicated PVT1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isoforms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was measured by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. In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treated HUVEC,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1b containing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isoforms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were induced. Modulation of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1a containing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isoforms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of PVT1 was not statistically significant. Primers detecting internal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exon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3 were used as positive control. The bar graph shows average ±SEM fold change values (n= 3; *p&lt;0.05, **p&lt;0.01, **p&lt;0.001). </w:t>
                  </w:r>
                </w:p>
                <w:p w:rsidR="002E49A5" w:rsidRDefault="002E49A5" w:rsidP="002E49A5"/>
              </w:txbxContent>
            </v:textbox>
            <w10:wrap anchorx="margin" anchory="margin"/>
          </v:shape>
        </w:pict>
      </w: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4F025C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104" type="#_x0000_t202" style="position:absolute;left:0;text-align:left;margin-left:0;margin-top:682.05pt;width:511.05pt;height:54pt;z-index:251710464;visibility:visible;mso-position-horizontal:center;mso-position-horizontal-relative:margin;mso-position-vertical-relative:margin" filled="f" stroked="f">
            <v:textbox inset="0,0,0,0">
              <w:txbxContent>
                <w:p w:rsidR="004F025C" w:rsidRDefault="004F025C" w:rsidP="004F025C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5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lastRenderedPageBreak/>
        <w:pict>
          <v:shape id="_x0000_s1088" type="#_x0000_t202" style="position:absolute;left:0;text-align:left;margin-left:0;margin-top:0;width:277.35pt;height:221.55pt;z-index:251692032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2E49A5" w:rsidRPr="008D1070" w:rsidRDefault="002E49A5" w:rsidP="002E49A5">
                  <w:r>
                    <w:rPr>
                      <w:noProof/>
                    </w:rPr>
                    <w:drawing>
                      <wp:inline distT="0" distB="0" distL="0" distR="0">
                        <wp:extent cx="3200400" cy="2633542"/>
                        <wp:effectExtent l="19050" t="0" r="0" b="0"/>
                        <wp:docPr id="41" name="Picture 40" descr="FigureS7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7.t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2633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91" type="#_x0000_t202" style="position:absolute;left:0;text-align:left;margin-left:0;margin-top:231.4pt;width:324pt;height:50.2pt;z-index:251695104;mso-position-horizontal:center;mso-position-horizontal-relative:margin;mso-position-vertical-relative:margin;mso-width-relative:margin;mso-height-relative:margin" stroked="f">
            <v:textbox inset="0,0,0,0">
              <w:txbxContent>
                <w:p w:rsidR="002E49A5" w:rsidRPr="001C4005" w:rsidRDefault="002E49A5" w:rsidP="002E49A5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S7. </w:t>
                  </w:r>
                  <w:proofErr w:type="spellStart"/>
                  <w:proofErr w:type="gramStart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miRNAs</w:t>
                  </w:r>
                  <w:proofErr w:type="spellEnd"/>
                  <w:proofErr w:type="gramEnd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differentially expressed upon HUVEC exposure to H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O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.</w:t>
                  </w:r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HUVEC were exposed to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16 hrs and 36 hrs and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miRNA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expression was measured by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. The bar graph shows average ±SEM fold change values expressed in a linear scale (n= 3; *p&lt;0.05, **p&lt;0.01, ***p&lt;0.001, ****p&lt;0.0001, ns= not significant).</w:t>
                  </w:r>
                </w:p>
                <w:p w:rsidR="002E49A5" w:rsidRDefault="002E49A5" w:rsidP="002E49A5"/>
              </w:txbxContent>
            </v:textbox>
            <w10:wrap anchorx="margin" anchory="margin"/>
          </v:shape>
        </w:pict>
      </w: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89" type="#_x0000_t202" style="position:absolute;left:0;text-align:left;margin-left:0;margin-top:310.75pt;width:253.65pt;height:190.3pt;z-index:251693056;mso-position-horizontal:center;mso-position-horizontal-relative:margin;mso-position-vertical-relative:margin;mso-width-relative:margin;mso-height-relative:margin" stroked="f">
            <v:textbox>
              <w:txbxContent>
                <w:p w:rsidR="002E49A5" w:rsidRPr="008D1070" w:rsidRDefault="002E49A5" w:rsidP="002E49A5">
                  <w:r>
                    <w:rPr>
                      <w:noProof/>
                    </w:rPr>
                    <w:drawing>
                      <wp:inline distT="0" distB="0" distL="0" distR="0">
                        <wp:extent cx="2926080" cy="2327889"/>
                        <wp:effectExtent l="19050" t="0" r="7620" b="0"/>
                        <wp:docPr id="50" name="Picture 49" descr="FigureS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8.tif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080" cy="2327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090" type="#_x0000_t202" style="position:absolute;left:0;text-align:left;margin-left:0;margin-top:514.05pt;width:302.4pt;height:49.1pt;z-index:251694080;mso-position-horizontal:center;mso-position-horizontal-relative:margin;mso-position-vertical-relative:margin;mso-width-relative:margin;mso-height-relative:margin" stroked="f">
            <v:textbox inset="0,0,0,0">
              <w:txbxContent>
                <w:p w:rsidR="002E49A5" w:rsidRPr="001C4005" w:rsidRDefault="002E49A5" w:rsidP="002E49A5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S8. </w:t>
                  </w:r>
                  <w:proofErr w:type="spellStart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>Redox</w:t>
                  </w:r>
                  <w:proofErr w:type="spellEnd"/>
                  <w:r w:rsidRPr="002E49A5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imbalance induced by BCNU treatment induces miR-192-5p expression.</w:t>
                  </w:r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HUVEC were either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preincubated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with 10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mM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NAC or sham-treated for 30 min, followed by addition of 0.25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mM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BCNU for 2 h. miR192-5p was measured by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(n= 6; * p&lt;0.05).</w:t>
                  </w:r>
                </w:p>
                <w:p w:rsidR="002E49A5" w:rsidRDefault="002E49A5" w:rsidP="002E49A5"/>
              </w:txbxContent>
            </v:textbox>
            <w10:wrap anchorx="margin" anchory="margin"/>
          </v:shape>
        </w:pict>
      </w: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4F025C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pict>
          <v:shape id="_x0000_s1105" type="#_x0000_t202" style="position:absolute;left:0;text-align:left;margin-left:0;margin-top:683.35pt;width:511.05pt;height:54pt;z-index:251711488;visibility:visible;mso-position-horizontal:center;mso-position-horizontal-relative:margin;mso-position-vertical-relative:margin" filled="f" stroked="f">
            <v:textbox inset="0,0,0,0">
              <w:txbxContent>
                <w:p w:rsidR="004F025C" w:rsidRDefault="004F025C" w:rsidP="004F025C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6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D6E9A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lastRenderedPageBreak/>
        <w:pict>
          <v:shape id="_x0000_s1098" type="#_x0000_t202" style="position:absolute;left:0;text-align:left;margin-left:0;margin-top:-8.7pt;width:7in;height:667.95pt;z-index:251703296;mso-position-horizontal:center;mso-position-horizontal-relative:margin;mso-width-relative:margin;mso-height-relative:margin" stroked="f">
            <v:textbox style="mso-next-textbox:#_x0000_s1098">
              <w:txbxContent>
                <w:p w:rsidR="002D6E9A" w:rsidRDefault="002D6E9A" w:rsidP="002D6E9A">
                  <w:r>
                    <w:rPr>
                      <w:noProof/>
                    </w:rPr>
                    <w:drawing>
                      <wp:inline distT="0" distB="0" distL="0" distR="0">
                        <wp:extent cx="6217920" cy="8391328"/>
                        <wp:effectExtent l="19050" t="0" r="0" b="0"/>
                        <wp:docPr id="158" name="Picture 66" descr="FigureS9A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9A.t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7920" cy="8391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2E49A5" w:rsidRDefault="002E49A5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8D1070" w:rsidRDefault="008D1070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Pr="00FA097B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A07AB6" w:rsidRPr="00813487" w:rsidRDefault="00A07AB6" w:rsidP="00A07AB6">
      <w:pPr>
        <w:spacing w:after="100" w:line="200" w:lineRule="atLeast"/>
        <w:ind w:left="360" w:hanging="432"/>
        <w:jc w:val="both"/>
        <w:rPr>
          <w:rFonts w:asciiTheme="minorHAnsi" w:hAnsiTheme="minorHAnsi"/>
          <w:sz w:val="20"/>
          <w:szCs w:val="20"/>
        </w:rPr>
      </w:pPr>
    </w:p>
    <w:p w:rsidR="00B05359" w:rsidRDefault="00E20461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4F025C" w:rsidP="00A07AB6">
      <w:pPr>
        <w:spacing w:after="100" w:line="200" w:lineRule="atLeast"/>
        <w:ind w:left="360" w:hanging="360"/>
        <w:jc w:val="both"/>
      </w:pPr>
      <w:r>
        <w:rPr>
          <w:noProof/>
        </w:rPr>
        <w:pict>
          <v:shape id="_x0000_s1106" type="#_x0000_t202" style="position:absolute;left:0;text-align:left;margin-left:0;margin-top:681.4pt;width:511.05pt;height:54pt;z-index:251712512;visibility:visible;mso-position-horizontal:center;mso-position-horizontal-relative:margin;mso-position-vertical-relative:margin" filled="f" stroked="f">
            <v:textbox inset="0,0,0,0">
              <w:txbxContent>
                <w:p w:rsidR="004F025C" w:rsidRDefault="004F025C" w:rsidP="004F025C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7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  <w:r>
        <w:rPr>
          <w:noProof/>
        </w:rPr>
        <w:lastRenderedPageBreak/>
        <w:pict>
          <v:shape id="_x0000_s1096" type="#_x0000_t202" style="position:absolute;left:0;text-align:left;margin-left:0;margin-top:-31.6pt;width:489.35pt;height:658.65pt;z-index:251701248;mso-position-horizontal:center;mso-position-horizontal-relative:margin;mso-width-relative:margin;mso-height-relative:margin" stroked="f">
            <v:textbox>
              <w:txbxContent>
                <w:p w:rsidR="002D6E9A" w:rsidRDefault="002D6E9A" w:rsidP="002D6E9A">
                  <w:r>
                    <w:rPr>
                      <w:noProof/>
                    </w:rPr>
                    <w:drawing>
                      <wp:inline distT="0" distB="0" distL="0" distR="0">
                        <wp:extent cx="5943600" cy="8596835"/>
                        <wp:effectExtent l="19050" t="0" r="0" b="0"/>
                        <wp:docPr id="118" name="Picture 77" descr="FigureS9D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9D.tif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85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  <w:r>
        <w:rPr>
          <w:noProof/>
        </w:rPr>
        <w:pict>
          <v:shape id="_x0000_s1097" type="#_x0000_t202" style="position:absolute;left:0;text-align:left;margin-left:0;margin-top:634.35pt;width:554.4pt;height:49.65pt;z-index:251702272;visibility:visible;mso-position-horizontal:center;mso-position-horizontal-relative:margin;mso-position-vertical-relative:margin;mso-width-relative:margin;mso-height-relative:margin" stroked="f">
            <v:textbox inset="0,0,0,0">
              <w:txbxContent>
                <w:p w:rsidR="002D6E9A" w:rsidRPr="001C4005" w:rsidRDefault="002D6E9A" w:rsidP="002D6E9A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2D6E9A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S9. </w:t>
                  </w:r>
                  <w:proofErr w:type="gramStart"/>
                  <w:r w:rsidRPr="002D6E9A">
                    <w:rPr>
                      <w:rFonts w:ascii="Calibri" w:hAnsi="Calibri"/>
                      <w:b/>
                      <w:sz w:val="20"/>
                      <w:szCs w:val="20"/>
                    </w:rPr>
                    <w:t>p53</w:t>
                  </w:r>
                  <w:proofErr w:type="gramEnd"/>
                  <w:r w:rsidRPr="002D6E9A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occupancy in the regulatory regions of H</w:t>
                  </w:r>
                  <w:r w:rsidRPr="002D6E9A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2D6E9A">
                    <w:rPr>
                      <w:rFonts w:ascii="Calibri" w:hAnsi="Calibri"/>
                      <w:b/>
                      <w:sz w:val="20"/>
                      <w:szCs w:val="20"/>
                    </w:rPr>
                    <w:t>O</w:t>
                  </w:r>
                  <w:r w:rsidRPr="002D6E9A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2D6E9A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modulated RNAs.</w:t>
                  </w:r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Publicly available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ChIP-seq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data for p53 in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osteosarcoma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cells treated with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nutilin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, an activator of p53 (GSE46641) were analyzed. For each gene, the corresponding panel shows: genomic coordinates; reads in HUVEC treated with H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</w:t>
                  </w:r>
                  <w:r w:rsidRPr="001C4005">
                    <w:rPr>
                      <w:rFonts w:ascii="Calibri" w:hAnsi="Calibri"/>
                      <w:sz w:val="18"/>
                      <w:szCs w:val="18"/>
                      <w:vertAlign w:val="subscript"/>
                    </w:rPr>
                    <w:t>2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for 0 hrs (ctrl), 16 hrs or 36 hrs (in gray); p53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ChIP-seq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reads in control and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nutilin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treated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osteosarcoma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cells (in blue); significant (FDR&lt;0.001)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ChIP-seq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peaks (green bars); consensus p53 binding sites (conservation ≥60%, in red);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gencode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annotated transcripts (in blue).</w:t>
                  </w:r>
                </w:p>
                <w:p w:rsidR="002D6E9A" w:rsidRDefault="002D6E9A" w:rsidP="002D6E9A"/>
              </w:txbxContent>
            </v:textbox>
            <w10:wrap anchorx="margin" anchory="margin"/>
          </v:shape>
        </w:pict>
      </w: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4F025C" w:rsidP="00A07AB6">
      <w:pPr>
        <w:spacing w:after="100" w:line="200" w:lineRule="atLeast"/>
        <w:ind w:left="360" w:hanging="360"/>
        <w:jc w:val="both"/>
      </w:pPr>
      <w:r>
        <w:rPr>
          <w:noProof/>
        </w:rPr>
        <w:pict>
          <v:shape id="_x0000_s1107" type="#_x0000_t202" style="position:absolute;left:0;text-align:left;margin-left:0;margin-top:684.65pt;width:511.05pt;height:54pt;z-index:251713536;visibility:visible;mso-position-horizontal:center;mso-position-horizontal-relative:margin;mso-position-vertical-relative:margin" filled="f" stroked="f">
            <v:textbox inset="0,0,0,0">
              <w:txbxContent>
                <w:p w:rsidR="004F025C" w:rsidRDefault="004F025C" w:rsidP="004F025C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8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  <w:r>
        <w:rPr>
          <w:noProof/>
          <w:lang w:eastAsia="zh-TW"/>
        </w:rPr>
        <w:lastRenderedPageBreak/>
        <w:pict>
          <v:shape id="_x0000_s1099" type="#_x0000_t202" style="position:absolute;left:0;text-align:left;margin-left:-8.05pt;margin-top:-17.8pt;width:253.5pt;height:347.9pt;z-index:251705344;mso-position-horizontal-relative:margin;mso-width-relative:margin;mso-height-relative:margin" stroked="f">
            <v:textbox>
              <w:txbxContent>
                <w:p w:rsidR="002D6E9A" w:rsidRDefault="002D6E9A">
                  <w:r>
                    <w:rPr>
                      <w:noProof/>
                    </w:rPr>
                    <w:drawing>
                      <wp:inline distT="0" distB="0" distL="0" distR="0">
                        <wp:extent cx="3017520" cy="4357048"/>
                        <wp:effectExtent l="19050" t="0" r="0" b="0"/>
                        <wp:docPr id="159" name="Picture 158" descr="FigureS10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0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7520" cy="4357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  <w:r>
        <w:rPr>
          <w:noProof/>
        </w:rPr>
        <w:pict>
          <v:shape id="_x0000_s1101" type="#_x0000_t202" style="position:absolute;left:0;text-align:left;margin-left:254.8pt;margin-top:190.5pt;width:4in;height:76.55pt;z-index:251707392;mso-position-horizontal-relative:margin;mso-position-vertical-relative:margin;mso-width-relative:margin;mso-height-relative:margin" stroked="f">
            <v:textbox inset="0,0,0,0">
              <w:txbxContent>
                <w:p w:rsidR="002D6E9A" w:rsidRPr="001C4005" w:rsidRDefault="002D6E9A" w:rsidP="002D6E9A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2D6E9A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S10. </w:t>
                  </w:r>
                  <w:proofErr w:type="gramStart"/>
                  <w:r w:rsidRPr="002D6E9A">
                    <w:rPr>
                      <w:rFonts w:ascii="Calibri" w:hAnsi="Calibri"/>
                      <w:b/>
                      <w:sz w:val="20"/>
                      <w:szCs w:val="20"/>
                    </w:rPr>
                    <w:t>Senescence marker induction in late passage HUVEC.</w:t>
                  </w:r>
                  <w:proofErr w:type="gramEnd"/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2D6E9A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r w:rsidRPr="002D6E9A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)</w:t>
                  </w:r>
                  <w:r w:rsidRPr="001C4005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Total RNA was extracted from early and late passage HUVEC and the indicated mRNAs were tested by 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. The bar graph shows average ±SEM fold change values (early passage n= 3, late passage n= 7; ****p&lt;0.0001).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r w:rsidRPr="002D6E9A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) Representative pictures of early and late passage HUVEC stained for senescence-associated </w:t>
                  </w:r>
                  <w:r w:rsidRPr="004F025C">
                    <w:rPr>
                      <w:rFonts w:ascii="Symbol" w:hAnsi="Symbol"/>
                      <w:sz w:val="18"/>
                      <w:szCs w:val="18"/>
                    </w:rPr>
                    <w:t>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-</w:t>
                  </w:r>
                  <w:proofErr w:type="spellStart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galactosidase</w:t>
                  </w:r>
                  <w:proofErr w:type="spell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activity (reference bar= 50</w:t>
                  </w:r>
                  <w:r w:rsidRPr="004F025C">
                    <w:rPr>
                      <w:rFonts w:ascii="Symbol" w:hAnsi="Symbol"/>
                      <w:sz w:val="18"/>
                      <w:szCs w:val="18"/>
                    </w:rPr>
                    <w:t></w:t>
                  </w:r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>m).</w:t>
                  </w:r>
                </w:p>
                <w:p w:rsidR="002D6E9A" w:rsidRDefault="002D6E9A" w:rsidP="002D6E9A"/>
              </w:txbxContent>
            </v:textbox>
            <w10:wrap anchorx="margin" anchory="margin"/>
          </v:shape>
        </w:pict>
      </w: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D6E9A" w:rsidRDefault="002D6E9A" w:rsidP="00A07AB6">
      <w:pPr>
        <w:spacing w:after="100" w:line="200" w:lineRule="atLeast"/>
        <w:ind w:left="360" w:hanging="360"/>
        <w:jc w:val="both"/>
      </w:pPr>
    </w:p>
    <w:p w:rsidR="002E49A5" w:rsidRDefault="004F025C" w:rsidP="00A07AB6">
      <w:pPr>
        <w:spacing w:after="100" w:line="200" w:lineRule="atLeast"/>
        <w:ind w:left="360" w:hanging="360"/>
        <w:jc w:val="both"/>
      </w:pPr>
      <w:r>
        <w:rPr>
          <w:noProof/>
        </w:rPr>
        <w:pict>
          <v:shape id="_x0000_s1100" type="#_x0000_t202" style="position:absolute;left:0;text-align:left;margin-left:207.75pt;margin-top:315.8pt;width:331.65pt;height:363.75pt;z-index:251706368;mso-position-horizontal-relative:margin;mso-position-vertical-relative:margin;mso-width-relative:margin;mso-height-relative:margin" stroked="f">
            <v:textbox>
              <w:txbxContent>
                <w:p w:rsidR="002D6E9A" w:rsidRDefault="002D6E9A" w:rsidP="002D6E9A">
                  <w:r>
                    <w:rPr>
                      <w:noProof/>
                    </w:rPr>
                    <w:drawing>
                      <wp:inline distT="0" distB="0" distL="0" distR="0">
                        <wp:extent cx="4023360" cy="4555324"/>
                        <wp:effectExtent l="19050" t="0" r="0" b="0"/>
                        <wp:docPr id="172" name="Picture 171" descr="FigureS1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1.t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3360" cy="4555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Default="002E49A5" w:rsidP="00A07AB6">
      <w:pPr>
        <w:spacing w:after="100" w:line="200" w:lineRule="atLeast"/>
        <w:ind w:left="360" w:hanging="360"/>
        <w:jc w:val="both"/>
      </w:pPr>
    </w:p>
    <w:p w:rsidR="002E49A5" w:rsidRPr="00F5153A" w:rsidRDefault="004F025C" w:rsidP="00A07AB6">
      <w:pPr>
        <w:spacing w:after="100" w:line="200" w:lineRule="atLeast"/>
        <w:ind w:left="360" w:hanging="360"/>
        <w:jc w:val="both"/>
      </w:pPr>
      <w:r>
        <w:rPr>
          <w:noProof/>
        </w:rPr>
        <w:pict>
          <v:shape id="_x0000_s1102" type="#_x0000_t202" style="position:absolute;left:0;text-align:left;margin-left:-4.8pt;margin-top:486.95pt;width:230.4pt;height:61.95pt;z-index:251708416;mso-position-horizontal-relative:margin;mso-position-vertical-relative:margin;mso-width-relative:margin;mso-height-relative:margin" stroked="f">
            <v:textbox inset="0,0,0,0">
              <w:txbxContent>
                <w:p w:rsidR="004F025C" w:rsidRPr="001C4005" w:rsidRDefault="004F025C" w:rsidP="004F025C">
                  <w:pPr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4F025C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S11. </w:t>
                  </w:r>
                  <w:proofErr w:type="gramStart"/>
                  <w:r w:rsidRPr="004F025C">
                    <w:rPr>
                      <w:rFonts w:ascii="Calibri" w:hAnsi="Calibri"/>
                      <w:b/>
                      <w:sz w:val="20"/>
                      <w:szCs w:val="20"/>
                    </w:rPr>
                    <w:t>Lack of association between the indicated H</w:t>
                  </w:r>
                  <w:r w:rsidRPr="004F025C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4F025C">
                    <w:rPr>
                      <w:rFonts w:ascii="Calibri" w:hAnsi="Calibri"/>
                      <w:b/>
                      <w:sz w:val="20"/>
                      <w:szCs w:val="20"/>
                    </w:rPr>
                    <w:t>O</w:t>
                  </w:r>
                  <w:r w:rsidRPr="004F025C">
                    <w:rPr>
                      <w:rFonts w:ascii="Calibri" w:hAnsi="Calibri"/>
                      <w:b/>
                      <w:sz w:val="20"/>
                      <w:szCs w:val="20"/>
                      <w:vertAlign w:val="subscript"/>
                    </w:rPr>
                    <w:t>2</w:t>
                  </w:r>
                  <w:r w:rsidRPr="004F025C">
                    <w:rPr>
                      <w:rFonts w:ascii="Calibri" w:hAnsi="Calibri"/>
                      <w:b/>
                      <w:sz w:val="20"/>
                      <w:szCs w:val="20"/>
                    </w:rPr>
                    <w:t>-responsive RNA levels and life-span</w:t>
                  </w:r>
                  <w:r w:rsidRPr="004F025C">
                    <w:rPr>
                      <w:rFonts w:ascii="Calibri" w:hAnsi="Calibri"/>
                      <w:sz w:val="20"/>
                      <w:szCs w:val="20"/>
                    </w:rPr>
                    <w:t>.</w:t>
                  </w:r>
                  <w:proofErr w:type="gramEnd"/>
                  <w:r w:rsidRPr="001C4005">
                    <w:rPr>
                      <w:rFonts w:ascii="Calibri" w:hAnsi="Calibri"/>
                      <w:sz w:val="18"/>
                      <w:szCs w:val="18"/>
                    </w:rPr>
                    <w:t xml:space="preserve"> Box plots of the indicated RNAs in LLIs (n= 53) versus controls (n= 65). None of the differences reached statistical significance, after adjustment for sex distribution.</w:t>
                  </w:r>
                  <w:bookmarkStart w:id="0" w:name="_GoBack"/>
                  <w:bookmarkEnd w:id="0"/>
                </w:p>
                <w:p w:rsidR="004F025C" w:rsidRDefault="004F025C" w:rsidP="004F025C"/>
              </w:txbxContent>
            </v:textbox>
            <w10:wrap anchorx="margin" anchory="margin"/>
          </v:shape>
        </w:pict>
      </w:r>
      <w:r>
        <w:rPr>
          <w:noProof/>
        </w:rPr>
        <w:pict>
          <v:shape id="_x0000_s1108" type="#_x0000_t202" style="position:absolute;left:0;text-align:left;margin-left:0;margin-top:688.55pt;width:511.05pt;height:54pt;z-index:251714560;visibility:visible;mso-position-horizontal:center;mso-position-horizontal-relative:margin;mso-position-vertical-relative:margin" filled="f" stroked="f">
            <v:textbox inset="0,0,0,0">
              <w:txbxContent>
                <w:p w:rsidR="004F025C" w:rsidRDefault="004F025C" w:rsidP="004F025C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025C" w:rsidRDefault="004F025C" w:rsidP="004F025C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www.aging-us</w:t>
                  </w:r>
                  <w:r w:rsidRPr="003A5668">
                    <w:rPr>
                      <w:rFonts w:ascii="Calibri" w:hAnsi="Calibri" w:cs="Calibri"/>
                      <w:color w:val="0000FF"/>
                      <w:sz w:val="20"/>
                      <w:szCs w:val="20"/>
                    </w:rPr>
                    <w:t>.com</w:t>
                  </w:r>
                  <w:r w:rsidRPr="003A5668"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9                                                                                </w:t>
                  </w:r>
                  <w:r w:rsidRPr="003A5668">
                    <w:rPr>
                      <w:rFonts w:ascii="Calibri" w:hAnsi="Calibri" w:cs="Calibri"/>
                      <w:color w:val="0000FF"/>
                    </w:rPr>
                    <w:t>AGING</w:t>
                  </w:r>
                </w:p>
              </w:txbxContent>
            </v:textbox>
            <w10:wrap anchorx="margin" anchory="margin"/>
          </v:shape>
        </w:pict>
      </w:r>
    </w:p>
    <w:sectPr w:rsidR="002E49A5" w:rsidRPr="00F5153A" w:rsidSect="00F5153A">
      <w:pgSz w:w="12240" w:h="15840"/>
      <w:pgMar w:top="1008" w:right="1008" w:bottom="1170" w:left="1008" w:header="432" w:footer="432" w:gutter="0"/>
      <w:cols w:num="2" w:space="720"/>
      <w:noEndnote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83577"/>
    <w:rsid w:val="00095C48"/>
    <w:rsid w:val="00172802"/>
    <w:rsid w:val="00185123"/>
    <w:rsid w:val="00276146"/>
    <w:rsid w:val="00283577"/>
    <w:rsid w:val="002D6E9A"/>
    <w:rsid w:val="002E49A5"/>
    <w:rsid w:val="00333F03"/>
    <w:rsid w:val="003A253E"/>
    <w:rsid w:val="00426EC3"/>
    <w:rsid w:val="00463D50"/>
    <w:rsid w:val="004B2FBD"/>
    <w:rsid w:val="004F025C"/>
    <w:rsid w:val="005147B2"/>
    <w:rsid w:val="00520258"/>
    <w:rsid w:val="00695807"/>
    <w:rsid w:val="00760B13"/>
    <w:rsid w:val="007A4F63"/>
    <w:rsid w:val="007F38DD"/>
    <w:rsid w:val="00820A8F"/>
    <w:rsid w:val="008B7406"/>
    <w:rsid w:val="008D1070"/>
    <w:rsid w:val="008E5B73"/>
    <w:rsid w:val="009733B6"/>
    <w:rsid w:val="00A07AB6"/>
    <w:rsid w:val="00A20166"/>
    <w:rsid w:val="00A92393"/>
    <w:rsid w:val="00B20D54"/>
    <w:rsid w:val="00B50715"/>
    <w:rsid w:val="00BB00B1"/>
    <w:rsid w:val="00BC21F1"/>
    <w:rsid w:val="00BD7169"/>
    <w:rsid w:val="00CE0CD6"/>
    <w:rsid w:val="00D33FD7"/>
    <w:rsid w:val="00DD69B2"/>
    <w:rsid w:val="00E20461"/>
    <w:rsid w:val="00F5153A"/>
    <w:rsid w:val="00F73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1"/>
    <w:uiPriority w:val="99"/>
    <w:rsid w:val="00283577"/>
    <w:pPr>
      <w:spacing w:after="120" w:line="480" w:lineRule="auto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83577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link w:val="BodyTextIndent"/>
    <w:uiPriority w:val="99"/>
    <w:locked/>
    <w:rsid w:val="0028357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5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57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link w:val="DefaultChar"/>
    <w:rsid w:val="005202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520258"/>
    <w:rPr>
      <w:rFonts w:ascii="Calibri" w:eastAsiaTheme="minorEastAsia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733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10</cp:revision>
  <dcterms:created xsi:type="dcterms:W3CDTF">2016-11-14T23:30:00Z</dcterms:created>
  <dcterms:modified xsi:type="dcterms:W3CDTF">2017-12-06T22:43:00Z</dcterms:modified>
</cp:coreProperties>
</file>